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0" w:after="0" w:line="344"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预期用途</w:t>
      </w:r>
      <w:r>
        <w:rPr>
          <w:rFonts w:ascii="Arial Unicode MS" w:hAnsi="Arial Unicode MS" w:cs="Arial Unicode MS" w:eastAsia="Arial Unicode MS"/>
          <w:spacing w:val="0"/>
          <w:w w:val="100"/>
          <w:position w:val="0"/>
          <w:sz w:val="22"/>
          <w:szCs w:val="22"/>
        </w:rPr>
      </w:r>
    </w:p>
    <w:p>
      <w:pPr>
        <w:spacing w:before="14"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用作防锈底漆和多种水上区域面漆之间的中间涂层/过渡涂层。</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5"/>
          <w:footerReference w:type="default" r:id="rId6"/>
          <w:type w:val="continuous"/>
          <w:pgSz w:w="11900" w:h="16820"/>
          <w:pgMar w:header="299" w:footer="1582" w:top="1680" w:bottom="1780" w:left="620" w:right="540"/>
          <w:pgNumType w:start="1"/>
          <w:cols w:num="2" w:equalWidth="0">
            <w:col w:w="1018" w:space="1279"/>
            <w:col w:w="8443"/>
          </w:cols>
        </w:sectPr>
      </w:pPr>
    </w:p>
    <w:p>
      <w:pPr>
        <w:spacing w:before="10" w:after="0" w:line="240" w:lineRule="exact"/>
        <w:jc w:val="left"/>
        <w:rPr>
          <w:sz w:val="24"/>
          <w:szCs w:val="24"/>
        </w:rPr>
      </w:pPr>
      <w:r>
        <w:rPr>
          <w:sz w:val="24"/>
          <w:szCs w:val="24"/>
        </w:rPr>
      </w:r>
    </w:p>
    <w:p>
      <w:pPr>
        <w:spacing w:line="240" w:lineRule="exact" w:after="0"/>
        <w:jc w:val="left"/>
        <w:rPr>
          <w:sz w:val="24"/>
          <w:szCs w:val="24"/>
        </w:rPr>
        <w:sectPr>
          <w:type w:val="continuous"/>
          <w:pgSz w:w="11900" w:h="16820"/>
          <w:pgMar w:top="168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8576pt;width:414pt;height:.1pt;mso-position-horizontal-relative:page;mso-position-vertical-relative:paragraph;z-index:-334"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EGA080-白色,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EGA081-蓝色,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EGA085-灰色</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68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无光</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EGA089</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68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68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甲组份：乙组份=4：1</w:t>
      </w:r>
      <w:r>
        <w:rPr>
          <w:rFonts w:ascii="Arial Unicode MS" w:hAnsi="Arial Unicode MS" w:cs="Arial Unicode MS" w:eastAsia="Arial Unicode MS"/>
          <w:spacing w:val="-16"/>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680" w:bottom="1780" w:left="620" w:right="54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(85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11.75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传统型喷涂</w:t>
      </w:r>
    </w:p>
    <w:p>
      <w:pPr>
        <w:spacing w:line="370" w:lineRule="exact" w:after="0"/>
        <w:jc w:val="left"/>
        <w:rPr>
          <w:rFonts w:ascii="Arial Unicode MS" w:hAnsi="Arial Unicode MS" w:cs="Arial Unicode MS" w:eastAsia="Arial Unicode MS"/>
          <w:sz w:val="16"/>
          <w:szCs w:val="16"/>
        </w:rPr>
        <w:sectPr>
          <w:type w:val="continuous"/>
          <w:pgSz w:w="11900" w:h="16820"/>
          <w:pgMar w:top="1680" w:bottom="1780" w:left="620" w:right="540"/>
          <w:cols w:num="2" w:equalWidth="0">
            <w:col w:w="3392" w:space="1281"/>
            <w:col w:w="6067"/>
          </w:cols>
        </w:sectPr>
      </w:pPr>
    </w:p>
    <w:p>
      <w:pPr>
        <w:tabs>
          <w:tab w:pos="4660" w:val="left"/>
        </w:tabs>
        <w:spacing w:before="0" w:after="0" w:line="365"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闪点</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23°C;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乙组份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26°C;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混合后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23°C</w:t>
      </w:r>
      <w:r>
        <w:rPr>
          <w:rFonts w:ascii="Arial Unicode MS" w:hAnsi="Arial Unicode MS" w:cs="Arial Unicode MS" w:eastAsia="Arial Unicode MS"/>
          <w:spacing w:val="0"/>
          <w:w w:val="100"/>
          <w:position w:val="0"/>
          <w:sz w:val="16"/>
          <w:szCs w:val="16"/>
        </w:rPr>
      </w:r>
    </w:p>
    <w:p>
      <w:pPr>
        <w:tabs>
          <w:tab w:pos="4660" w:val="left"/>
        </w:tabs>
        <w:spacing w:before="0" w:after="0" w:line="370" w:lineRule="exact"/>
        <w:ind w:left="2291" w:right="-20"/>
        <w:jc w:val="left"/>
        <w:rPr>
          <w:rFonts w:ascii="Arial Unicode MS" w:hAnsi="Arial Unicode MS" w:cs="Arial Unicode MS" w:eastAsia="Arial Unicode MS"/>
          <w:sz w:val="16"/>
          <w:szCs w:val="16"/>
        </w:rPr>
      </w:pPr>
      <w:r>
        <w:rPr/>
        <w:pict>
          <v:group style="position:absolute;margin-left:145.570007pt;margin-top:31.405264pt;width:414.0pt;height:.1pt;mso-position-horizontal-relative:page;mso-position-vertical-relative:paragraph;z-index:-332" coordorigin="2911,628" coordsize="8280,2">
            <v:shape style="position:absolute;left:2911;top:628;width:8280;height:2" coordorigin="2911,628" coordsize="8280,0" path="m2911,628l11191,628e" filled="f" stroked="t" strokeweight="1.5pt" strokecolor="#000000">
              <v:path arrowok="t"/>
            </v:shape>
            <w10:wrap type="none"/>
          </v:group>
        </w:pict>
      </w:r>
      <w:r>
        <w:rPr>
          <w:rFonts w:ascii="Arial Unicode MS" w:hAnsi="Arial Unicode MS" w:cs="Arial Unicode MS" w:eastAsia="Arial Unicode MS"/>
          <w:spacing w:val="0"/>
          <w:w w:val="100"/>
          <w:position w:val="-1"/>
          <w:sz w:val="22"/>
          <w:szCs w:val="22"/>
        </w:rPr>
        <w:t>熟化时间</w:t>
        <w:tab/>
      </w:r>
      <w:r>
        <w:rPr>
          <w:rFonts w:ascii="Arial Unicode MS" w:hAnsi="Arial Unicode MS" w:cs="Arial Unicode MS" w:eastAsia="Arial Unicode MS"/>
          <w:spacing w:val="0"/>
          <w:w w:val="100"/>
          <w:position w:val="-1"/>
          <w:sz w:val="22"/>
          <w:szCs w:val="22"/>
        </w:rPr>
      </w:r>
      <w:r>
        <w:rPr>
          <w:rFonts w:ascii="Arial Unicode MS" w:hAnsi="Arial Unicode MS" w:cs="Arial Unicode MS" w:eastAsia="Arial Unicode MS"/>
          <w:spacing w:val="0"/>
          <w:w w:val="100"/>
          <w:position w:val="4"/>
          <w:sz w:val="16"/>
          <w:szCs w:val="16"/>
        </w:rPr>
        <w:t>在温度低于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15</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分钟</w:t>
      </w:r>
      <w:r>
        <w:rPr>
          <w:rFonts w:ascii="Arial Unicode MS" w:hAnsi="Arial Unicode MS" w:cs="Arial Unicode MS" w:eastAsia="Arial Unicode MS"/>
          <w:spacing w:val="0"/>
          <w:w w:val="100"/>
          <w:position w:val="0"/>
          <w:sz w:val="16"/>
          <w:szCs w:val="16"/>
        </w:rPr>
      </w:r>
    </w:p>
    <w:p>
      <w:pPr>
        <w:spacing w:before="14"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10°C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35"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5" w:type="dxa"/>
            <w:tcBorders>
              <w:top w:val="single" w:sz="4" w:space="0" w:color="000000"/>
              <w:left w:val="nil" w:sz="6" w:space="0" w:color="auto"/>
              <w:bottom w:val="nil" w:sz="6" w:space="0" w:color="auto"/>
              <w:right w:val="nil" w:sz="6" w:space="0" w:color="auto"/>
            </w:tcBorders>
          </w:tcPr>
          <w:p>
            <w:pPr>
              <w:spacing w:before="3" w:after="0" w:line="240" w:lineRule="auto"/>
              <w:ind w:left="452" w:right="42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52" w:right="42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680" w:bottom="1780" w:left="620" w:right="54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680" w:bottom="1780" w:left="620" w:right="540"/>
          <w:cols w:num="2" w:equalWidth="0">
            <w:col w:w="3215" w:space="1404"/>
            <w:col w:w="6121"/>
          </w:cols>
        </w:sectPr>
      </w:pPr>
    </w:p>
    <w:p>
      <w:pPr>
        <w:spacing w:before="6" w:after="0" w:line="180" w:lineRule="exact"/>
        <w:jc w:val="left"/>
        <w:rPr>
          <w:sz w:val="18"/>
          <w:szCs w:val="18"/>
        </w:rPr>
      </w:pPr>
      <w:r>
        <w:rPr>
          <w:sz w:val="18"/>
          <w:szCs w:val="18"/>
        </w:rPr>
      </w:r>
    </w:p>
    <w:tbl>
      <w:tblPr>
        <w:tblW w:w="0" w:type="auto"/>
        <w:jc w:val="left"/>
        <w:tblInd w:w="2194" w:type="dxa"/>
        <w:tblLayout w:type="fixed"/>
        <w:tblCellMar>
          <w:top w:w="0" w:type="dxa"/>
          <w:left w:w="0" w:type="dxa"/>
          <w:bottom w:w="0" w:type="dxa"/>
          <w:right w:w="0" w:type="dxa"/>
        </w:tblCellMar>
        <w:tblLook w:val="01E0"/>
      </w:tblPr>
      <w:tblGrid/>
      <w:tr>
        <w:trPr>
          <w:trHeight w:val="286" w:hRule="exact"/>
        </w:trPr>
        <w:tc>
          <w:tcPr>
            <w:tcW w:w="1635" w:type="dxa"/>
            <w:tcBorders>
              <w:top w:val="nil" w:sz="6" w:space="0" w:color="auto"/>
              <w:left w:val="nil" w:sz="6" w:space="0" w:color="auto"/>
              <w:bottom w:val="nil" w:sz="6" w:space="0" w:color="auto"/>
              <w:right w:val="nil" w:sz="6" w:space="0" w:color="auto"/>
            </w:tcBorders>
          </w:tcPr>
          <w:p>
            <w:pPr>
              <w:spacing w:before="1"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740</w:t>
            </w:r>
          </w:p>
        </w:tc>
        <w:tc>
          <w:tcPr>
            <w:tcW w:w="1324" w:type="dxa"/>
            <w:tcBorders>
              <w:top w:val="nil" w:sz="6" w:space="0" w:color="auto"/>
              <w:left w:val="nil" w:sz="6" w:space="0" w:color="auto"/>
              <w:bottom w:val="nil" w:sz="6" w:space="0" w:color="auto"/>
              <w:right w:val="nil" w:sz="6" w:space="0" w:color="auto"/>
            </w:tcBorders>
          </w:tcPr>
          <w:p>
            <w:pPr>
              <w:spacing w:before="1" w:after="0" w:line="240" w:lineRule="auto"/>
              <w:ind w:left="69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single" w:sz="4" w:space="0" w:color="000000"/>
              <w:left w:val="nil" w:sz="6" w:space="0" w:color="auto"/>
              <w:bottom w:val="nil" w:sz="6" w:space="0" w:color="auto"/>
              <w:right w:val="nil" w:sz="6" w:space="0" w:color="auto"/>
            </w:tcBorders>
          </w:tcPr>
          <w:p>
            <w:pPr>
              <w:spacing w:before="1" w:after="0" w:line="240" w:lineRule="auto"/>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tc>
        <w:tc>
          <w:tcPr>
            <w:tcW w:w="790" w:type="dxa"/>
            <w:tcBorders>
              <w:top w:val="single" w:sz="4" w:space="0" w:color="000000"/>
              <w:left w:val="nil" w:sz="6" w:space="0" w:color="auto"/>
              <w:bottom w:val="nil" w:sz="6" w:space="0" w:color="auto"/>
              <w:right w:val="nil" w:sz="6" w:space="0" w:color="auto"/>
            </w:tcBorders>
          </w:tcPr>
          <w:p>
            <w:pPr>
              <w:spacing w:before="1"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single" w:sz="4" w:space="0" w:color="000000"/>
              <w:left w:val="nil" w:sz="6" w:space="0" w:color="auto"/>
              <w:bottom w:val="nil" w:sz="6" w:space="0" w:color="auto"/>
              <w:right w:val="nil" w:sz="6" w:space="0" w:color="auto"/>
            </w:tcBorders>
          </w:tcPr>
          <w:p>
            <w:pPr>
              <w:spacing w:before="1" w:after="0" w:line="240" w:lineRule="auto"/>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tc>
        <w:tc>
          <w:tcPr>
            <w:tcW w:w="751" w:type="dxa"/>
            <w:tcBorders>
              <w:top w:val="single" w:sz="4" w:space="0" w:color="000000"/>
              <w:left w:val="nil" w:sz="6" w:space="0" w:color="auto"/>
              <w:bottom w:val="nil" w:sz="6" w:space="0" w:color="auto"/>
              <w:right w:val="nil" w:sz="6" w:space="0" w:color="auto"/>
            </w:tcBorders>
          </w:tcPr>
          <w:p>
            <w:pPr>
              <w:spacing w:before="1" w:after="0" w:line="240" w:lineRule="auto"/>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single" w:sz="4" w:space="0" w:color="000000"/>
              <w:left w:val="nil" w:sz="6" w:space="0" w:color="auto"/>
              <w:bottom w:val="nil" w:sz="6" w:space="0" w:color="auto"/>
              <w:right w:val="nil" w:sz="6" w:space="0" w:color="auto"/>
            </w:tcBorders>
          </w:tcPr>
          <w:p>
            <w:pPr>
              <w:spacing w:before="1" w:after="0" w:line="240" w:lineRule="auto"/>
              <w:ind w:left="2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tc>
        <w:tc>
          <w:tcPr>
            <w:tcW w:w="770" w:type="dxa"/>
            <w:tcBorders>
              <w:top w:val="single" w:sz="4" w:space="0" w:color="000000"/>
              <w:left w:val="nil" w:sz="6" w:space="0" w:color="auto"/>
              <w:bottom w:val="nil" w:sz="6" w:space="0" w:color="auto"/>
              <w:right w:val="nil" w:sz="6" w:space="0" w:color="auto"/>
            </w:tcBorders>
          </w:tcPr>
          <w:p>
            <w:pPr>
              <w:spacing w:before="1" w:after="0" w:line="240" w:lineRule="auto"/>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single" w:sz="4" w:space="0" w:color="000000"/>
              <w:left w:val="nil" w:sz="6" w:space="0" w:color="auto"/>
              <w:bottom w:val="nil" w:sz="6" w:space="0" w:color="auto"/>
              <w:right w:val="nil" w:sz="6" w:space="0" w:color="auto"/>
            </w:tcBorders>
          </w:tcPr>
          <w:p>
            <w:pPr>
              <w:spacing w:before="1" w:after="0" w:line="240" w:lineRule="auto"/>
              <w:ind w:left="19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tc>
      </w:tr>
      <w:tr>
        <w:trPr>
          <w:trHeight w:val="603" w:hRule="exact"/>
        </w:trPr>
        <w:tc>
          <w:tcPr>
            <w:tcW w:w="1635"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Interthane</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990</w:t>
            </w:r>
          </w:p>
        </w:tc>
        <w:tc>
          <w:tcPr>
            <w:tcW w:w="1324" w:type="dxa"/>
            <w:tcBorders>
              <w:top w:val="nil" w:sz="6" w:space="0" w:color="auto"/>
              <w:left w:val="nil" w:sz="6" w:space="0" w:color="auto"/>
              <w:bottom w:val="single" w:sz="12" w:space="0" w:color="000000"/>
              <w:right w:val="nil" w:sz="6" w:space="0" w:color="auto"/>
            </w:tcBorders>
          </w:tcPr>
          <w:p>
            <w:pPr>
              <w:spacing w:before="0" w:after="0" w:line="202" w:lineRule="exact"/>
              <w:ind w:left="69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single" w:sz="12" w:space="0" w:color="000000"/>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single" w:sz="12" w:space="0" w:color="000000"/>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single" w:sz="12" w:space="0" w:color="000000"/>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single" w:sz="12" w:space="0" w:color="000000"/>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single" w:sz="12" w:space="0" w:color="000000"/>
              <w:right w:val="nil" w:sz="6" w:space="0" w:color="auto"/>
            </w:tcBorders>
          </w:tcPr>
          <w:p>
            <w:pPr>
              <w:spacing w:before="0" w:after="0" w:line="202" w:lineRule="exact"/>
              <w:ind w:left="16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70" w:type="dxa"/>
            <w:tcBorders>
              <w:top w:val="nil" w:sz="6" w:space="0" w:color="auto"/>
              <w:left w:val="nil" w:sz="6" w:space="0" w:color="auto"/>
              <w:bottom w:val="single" w:sz="12" w:space="0" w:color="000000"/>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nil" w:sz="6" w:space="0" w:color="auto"/>
              <w:left w:val="nil" w:sz="6" w:space="0" w:color="auto"/>
              <w:bottom w:val="single" w:sz="12" w:space="0" w:color="000000"/>
              <w:right w:val="nil" w:sz="6" w:space="0" w:color="auto"/>
            </w:tcBorders>
          </w:tcPr>
          <w:p>
            <w:pPr>
              <w:spacing w:before="0" w:after="0" w:line="202" w:lineRule="exact"/>
              <w:ind w:left="19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bl>
    <w:p>
      <w:pPr>
        <w:spacing w:line="202" w:lineRule="exact" w:after="0"/>
        <w:jc w:val="left"/>
        <w:rPr>
          <w:rFonts w:ascii="Arial Unicode MS" w:hAnsi="Arial Unicode MS" w:cs="Arial Unicode MS" w:eastAsia="Arial Unicode MS"/>
          <w:sz w:val="14"/>
          <w:szCs w:val="14"/>
        </w:rPr>
        <w:sectPr>
          <w:type w:val="continuous"/>
          <w:pgSz w:w="11900" w:h="16820"/>
          <w:pgMar w:top="1680" w:bottom="1780" w:left="620" w:right="540"/>
        </w:sectPr>
      </w:pPr>
    </w:p>
    <w:p>
      <w:pPr>
        <w:tabs>
          <w:tab w:pos="2380" w:val="left"/>
        </w:tabs>
        <w:spacing w:before="0" w:after="0" w:line="345" w:lineRule="exact"/>
        <w:ind w:left="137" w:right="-73"/>
        <w:jc w:val="left"/>
        <w:rPr>
          <w:rFonts w:ascii="Arial Unicode MS" w:hAnsi="Arial Unicode MS" w:cs="Arial Unicode MS" w:eastAsia="Arial Unicode MS"/>
          <w:sz w:val="22"/>
          <w:szCs w:val="22"/>
        </w:rPr>
      </w:pPr>
      <w:r>
        <w:rPr/>
        <w:pict>
          <v:group style="position:absolute;margin-left:144.770004pt;margin-top:-2.315pt;width:411.75pt;height:.13pt;mso-position-horizontal-relative:page;mso-position-vertical-relative:paragraph;z-index:-333" coordorigin="2895,-46" coordsize="8235,3">
            <v:shape style="position:absolute;left:2895;top:-46;width:8235;height:3" coordorigin="2895,-46" coordsize="8235,3" path="m2895,-46l11130,-44e" filled="f" stroked="t" strokeweight="1.5pt" strokecolor="#000000">
              <v:path arrowok="t"/>
            </v:shape>
            <w10:wrap type="none"/>
          </v:group>
        </w:pict>
      </w:r>
      <w:r>
        <w:rPr/>
        <w:pict>
          <v:group style="position:absolute;margin-left:37.849998pt;margin-top:4.825pt;width:525.6pt;height:43.594pt;mso-position-horizontal-relative:page;mso-position-vertical-relative:paragraph;z-index:-331" coordorigin="757,96" coordsize="10512,872">
            <v:shape style="position:absolute;left:757;top:96;width:10512;height:872" coordorigin="757,96" coordsize="10512,872" path="m757,968l11269,968,11269,96,757,96,757,968xe" filled="t" fillcolor="#D2D2D2" stroked="f">
              <v:path arrowok="t"/>
              <v:fill/>
            </v:shape>
            <w10:wrap type="none"/>
          </v:group>
        </w:pict>
      </w:r>
      <w:r>
        <w:rPr>
          <w:rFonts w:ascii="Arial Unicode MS" w:hAnsi="Arial Unicode MS" w:cs="Arial Unicode MS" w:eastAsia="Arial Unicode MS"/>
          <w:spacing w:val="0"/>
          <w:w w:val="100"/>
          <w:position w:val="0"/>
          <w:sz w:val="22"/>
          <w:szCs w:val="22"/>
        </w:rPr>
        <w:t>法定数据</w:t>
        <w:tab/>
      </w:r>
      <w:r>
        <w:rPr>
          <w:rFonts w:ascii="Arial Unicode MS" w:hAnsi="Arial Unicode MS" w:cs="Arial Unicode MS" w:eastAsia="Arial Unicode MS"/>
          <w:spacing w:val="0"/>
          <w:w w:val="100"/>
          <w:position w:val="0"/>
          <w:sz w:val="22"/>
          <w:szCs w:val="22"/>
        </w:rPr>
        <w:t>挥发性有机化合物</w:t>
      </w:r>
      <w:r>
        <w:rPr>
          <w:rFonts w:ascii="Arial Unicode MS" w:hAnsi="Arial Unicode MS" w:cs="Arial Unicode MS" w:eastAsia="Arial Unicode MS"/>
          <w:spacing w:val="0"/>
          <w:w w:val="100"/>
          <w:position w:val="0"/>
          <w:sz w:val="22"/>
          <w:szCs w:val="22"/>
        </w:rPr>
      </w:r>
    </w:p>
    <w:p>
      <w:pPr>
        <w:spacing w:before="0"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446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293</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680" w:bottom="1780" w:left="620" w:right="540"/>
          <w:cols w:num="2" w:equalWidth="0">
            <w:col w:w="4148" w:space="669"/>
            <w:col w:w="5923"/>
          </w:cols>
        </w:sectPr>
      </w:pPr>
    </w:p>
    <w:p>
      <w:pPr>
        <w:spacing w:before="15" w:after="0" w:line="185" w:lineRule="auto"/>
        <w:ind w:left="2388" w:right="4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680" w:bottom="1780" w:left="620" w:right="540"/>
        </w:sectPr>
      </w:pPr>
    </w:p>
    <w:p>
      <w:pPr>
        <w:spacing w:before="0" w:after="0" w:line="380"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表面处理</w:t>
      </w:r>
      <w:r>
        <w:rPr>
          <w:rFonts w:ascii="Arial Unicode MS" w:hAnsi="Arial Unicode MS" w:cs="Arial Unicode MS" w:eastAsia="Arial Unicode MS"/>
          <w:spacing w:val="0"/>
          <w:w w:val="100"/>
          <w:position w:val="0"/>
          <w:sz w:val="22"/>
          <w:szCs w:val="22"/>
        </w:rPr>
      </w:r>
    </w:p>
    <w:p>
      <w:pPr>
        <w:spacing w:before="88"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18"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新造船/大修</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应始终施工在推荐的涂料方案上。底漆表面应干燥且无任何污染物，Intergard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必须在规定的复涂间</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隔时间内进行施工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(请参阅相关的产品说明书。)</w:t>
      </w:r>
    </w:p>
    <w:p>
      <w:pPr>
        <w:spacing w:before="5" w:after="0" w:line="200" w:lineRule="exact"/>
        <w:jc w:val="left"/>
        <w:rPr>
          <w:sz w:val="20"/>
          <w:szCs w:val="20"/>
        </w:rPr>
      </w:pPr>
      <w:r>
        <w:rPr>
          <w:sz w:val="20"/>
          <w:szCs w:val="20"/>
        </w:rPr>
      </w:r>
    </w:p>
    <w:p>
      <w:pPr>
        <w:spacing w:before="0" w:after="0" w:line="185" w:lineRule="auto"/>
        <w:ind w:left="6" w:right="243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采用规定的防锈漆方案修补腐蚀区域。</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整个区域应干燥且无任何污染物(油、油脂、盐等)，并采用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进行复涂。</w:t>
      </w:r>
    </w:p>
    <w:p>
      <w:pPr>
        <w:spacing w:before="1" w:after="0" w:line="160" w:lineRule="exact"/>
        <w:jc w:val="left"/>
        <w:rPr>
          <w:sz w:val="16"/>
          <w:szCs w:val="16"/>
        </w:rPr>
      </w:pPr>
      <w:r>
        <w:rPr>
          <w:sz w:val="16"/>
          <w:szCs w:val="16"/>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line="240" w:lineRule="auto" w:after="0"/>
        <w:jc w:val="left"/>
        <w:rPr>
          <w:rFonts w:ascii="Arial Unicode MS" w:hAnsi="Arial Unicode MS" w:cs="Arial Unicode MS" w:eastAsia="Arial Unicode MS"/>
          <w:sz w:val="16"/>
          <w:szCs w:val="16"/>
        </w:rPr>
        <w:sectPr>
          <w:headerReference w:type="default" r:id="rId7"/>
          <w:pgSz w:w="11900" w:h="16820"/>
          <w:pgMar w:header="299" w:footer="1582" w:top="1680" w:bottom="1780" w:left="620" w:right="540"/>
          <w:cols w:num="2" w:equalWidth="0">
            <w:col w:w="1018" w:space="1274"/>
            <w:col w:w="844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5" w:after="0" w:line="190" w:lineRule="exact"/>
        <w:jc w:val="left"/>
        <w:rPr>
          <w:sz w:val="19"/>
          <w:szCs w:val="19"/>
        </w:rPr>
      </w:pPr>
      <w:r>
        <w:rPr>
          <w:sz w:val="19"/>
          <w:szCs w:val="19"/>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324"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9" w:after="0" w:line="220" w:lineRule="exact"/>
        <w:jc w:val="left"/>
        <w:rPr>
          <w:sz w:val="22"/>
          <w:szCs w:val="22"/>
        </w:rPr>
      </w:pPr>
      <w:r>
        <w:rPr>
          <w:sz w:val="22"/>
          <w:szCs w:val="22"/>
        </w:rPr>
      </w:r>
    </w:p>
    <w:p>
      <w:pPr>
        <w:spacing w:before="0" w:after="0" w:line="314" w:lineRule="auto"/>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274"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漆辊</w:t>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涂料分装在两个容器中，作为一组供应。使用时应始终按供应的比例整组混合。一组涂料一经混合，则必须在规定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的混合后施工时间内使用。</w:t>
      </w:r>
    </w:p>
    <w:p>
      <w:pPr>
        <w:spacing w:before="0" w:after="0" w:line="185" w:lineRule="auto"/>
        <w:ind w:left="30" w:right="28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(1)采用电动搅拌器搅拌基料（甲组份）。</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(2)混合全部的基料(甲组份)和固化剂(乙组份)，并采用电动搅拌器彻底搅拌。</w:t>
      </w:r>
    </w:p>
    <w:p>
      <w:pPr>
        <w:spacing w:before="1" w:after="0" w:line="160" w:lineRule="exact"/>
        <w:jc w:val="left"/>
        <w:rPr>
          <w:sz w:val="16"/>
          <w:szCs w:val="16"/>
        </w:rPr>
      </w:pPr>
      <w:r>
        <w:rPr>
          <w:sz w:val="16"/>
          <w:szCs w:val="16"/>
        </w:rPr>
      </w:r>
    </w:p>
    <w:p>
      <w:pPr>
        <w:spacing w:before="0" w:after="0" w:line="185" w:lineRule="auto"/>
        <w:ind w:left="15" w:right="22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5%）。稀释不要超过当地环保法规所允</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许的范围。</w:t>
      </w:r>
    </w:p>
    <w:p>
      <w:pPr>
        <w:spacing w:before="34"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推荐使用</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0.38-0.53</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(15-21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(2500磅/平方英寸)</w:t>
      </w:r>
      <w:r>
        <w:rPr>
          <w:rFonts w:ascii="Arial Unicode MS" w:hAnsi="Arial Unicode MS" w:cs="Arial Unicode MS" w:eastAsia="Arial Unicode MS"/>
          <w:spacing w:val="0"/>
          <w:w w:val="100"/>
          <w:sz w:val="16"/>
          <w:szCs w:val="16"/>
        </w:rPr>
      </w:r>
    </w:p>
    <w:p>
      <w:pPr>
        <w:spacing w:before="61" w:after="0" w:line="185" w:lineRule="auto"/>
        <w:ind w:right="52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适用。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采用合适的专用设备。可能需要进行稀释。</w:t>
      </w:r>
    </w:p>
    <w:p>
      <w:pPr>
        <w:spacing w:before="1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辊涂施工仅建议用于小面积。可能需要多道涂层，以达到规定的膜厚。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GTA822</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40"/>
          <w:cols w:num="2" w:equalWidth="0">
            <w:col w:w="1238" w:space="1149"/>
            <w:col w:w="8353"/>
          </w:cols>
        </w:sectPr>
      </w:pPr>
    </w:p>
    <w:p>
      <w:pPr>
        <w:tabs>
          <w:tab w:pos="2380" w:val="left"/>
        </w:tabs>
        <w:spacing w:before="90" w:after="0" w:line="158" w:lineRule="auto"/>
        <w:ind w:left="2387" w:right="247"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GTA822</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彻底冲洗所有设备。一组油漆一经混合，不应再</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行密封，施工中如停顿时间过长，建议重新混合各组份，再开始施工。</w:t>
      </w:r>
    </w:p>
    <w:p>
      <w:pPr>
        <w:spacing w:before="5" w:after="0" w:line="185" w:lineRule="auto"/>
        <w:ind w:left="2387" w:right="24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所有设备在使用后应立即采用国际牌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GTA822</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进行清洗。在一天的工作过程中定时冲洗喷涂设备是一种良好的工作</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习惯。清洗次数取决于喷涂数量、温度和使用时间(包括耽搁的时间)。不要超过涂料的混合后施工时间。</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所有剩余涂料和空容器应按照当地适宜的规章/法律进行处置。</w:t>
      </w:r>
      <w:r>
        <w:rPr>
          <w:rFonts w:ascii="Arial Unicode MS" w:hAnsi="Arial Unicode MS" w:cs="Arial Unicode MS" w:eastAsia="Arial Unicode MS"/>
          <w:spacing w:val="0"/>
          <w:w w:val="100"/>
          <w:sz w:val="16"/>
          <w:szCs w:val="16"/>
        </w:rPr>
      </w:r>
    </w:p>
    <w:p>
      <w:pPr>
        <w:spacing w:before="7"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3295pt;width:405.75pt;height:.1pt;mso-position-horizontal-relative:page;mso-position-vertical-relative:paragraph;z-index:-330"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680" w:bottom="1780" w:left="620" w:right="540"/>
        </w:sectPr>
      </w:pPr>
    </w:p>
    <w:p>
      <w:pPr>
        <w:tabs>
          <w:tab w:pos="2280" w:val="left"/>
        </w:tabs>
        <w:spacing w:before="37" w:after="0" w:line="293" w:lineRule="auto"/>
        <w:ind w:left="2297" w:right="222"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该产品在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5°C</w:t>
      </w:r>
      <w:r>
        <w:rPr>
          <w:rFonts w:ascii="Arial Unicode MS" w:hAnsi="Arial Unicode MS" w:cs="Arial Unicode MS" w:eastAsia="Arial Unicode MS"/>
          <w:spacing w:val="-3"/>
          <w:w w:val="100"/>
          <w:position w:val="0"/>
          <w:sz w:val="16"/>
          <w:szCs w:val="16"/>
        </w:rPr>
        <w:t> </w:t>
      </w:r>
      <w:r>
        <w:rPr>
          <w:rFonts w:ascii="Arial Unicode MS" w:hAnsi="Arial Unicode MS" w:cs="Arial Unicode MS" w:eastAsia="Arial Unicode MS"/>
          <w:spacing w:val="0"/>
          <w:w w:val="100"/>
          <w:position w:val="0"/>
          <w:sz w:val="16"/>
          <w:szCs w:val="16"/>
        </w:rPr>
        <w:t>以下不会充分固化。为达到最佳性能，固化环境温度应高于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10°C。</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(International</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Paint)</w:t>
      </w:r>
      <w:r>
        <w:rPr>
          <w:rFonts w:ascii="Arial Unicode MS" w:hAnsi="Arial Unicode MS" w:cs="Arial Unicode MS" w:eastAsia="Arial Unicode MS"/>
          <w:spacing w:val="0"/>
          <w:w w:val="100"/>
          <w:position w:val="0"/>
          <w:sz w:val="16"/>
          <w:szCs w:val="16"/>
        </w:rPr>
      </w:r>
    </w:p>
    <w:p>
      <w:pPr>
        <w:spacing w:before="0" w:after="0" w:line="166"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p>
    <w:p>
      <w:pPr>
        <w:spacing w:before="0" w:after="0" w:line="203" w:lineRule="exact"/>
        <w:ind w:left="2297" w:right="-20"/>
        <w:jc w:val="left"/>
        <w:rPr>
          <w:rFonts w:ascii="Arial Unicode MS" w:hAnsi="Arial Unicode MS" w:cs="Arial Unicode MS" w:eastAsia="Arial Unicode MS"/>
          <w:sz w:val="16"/>
          <w:szCs w:val="16"/>
        </w:rPr>
      </w:pPr>
      <w:r>
        <w:rPr/>
        <w:pict>
          <v:group style="position:absolute;margin-left:145.850006pt;margin-top:15.936237pt;width:417.6pt;height:.1pt;mso-position-horizontal-relative:page;mso-position-vertical-relative:paragraph;z-index:-329" coordorigin="2917,319" coordsize="8352,2">
            <v:shape style="position:absolute;left:2917;top:319;width:8352;height:2" coordorigin="2917,319" coordsize="8352,0" path="m2917,319l11269,319e" filled="f" stroked="t" strokeweight="1.5pt" strokecolor="#000000">
              <v:path arrowok="t"/>
            </v:shape>
            <w10:wrap type="none"/>
          </v:group>
        </w:pict>
      </w:r>
      <w:r>
        <w:rPr>
          <w:rFonts w:ascii="Arial Unicode MS" w:hAnsi="Arial Unicode MS" w:cs="Arial Unicode MS" w:eastAsia="Arial Unicode MS"/>
          <w:spacing w:val="0"/>
          <w:w w:val="100"/>
          <w:position w:val="0"/>
          <w:sz w:val="16"/>
          <w:szCs w:val="16"/>
        </w:rPr>
        <w:t>慎。</w:t>
      </w:r>
      <w:r>
        <w:rPr>
          <w:rFonts w:ascii="Arial Unicode MS" w:hAnsi="Arial Unicode MS" w:cs="Arial Unicode MS" w:eastAsia="Arial Unicode MS"/>
          <w:spacing w:val="0"/>
          <w:w w:val="100"/>
          <w:position w:val="0"/>
          <w:sz w:val="16"/>
          <w:szCs w:val="16"/>
        </w:rPr>
      </w:r>
    </w:p>
    <w:p>
      <w:pPr>
        <w:spacing w:before="19" w:after="0" w:line="260" w:lineRule="exact"/>
        <w:jc w:val="left"/>
        <w:rPr>
          <w:sz w:val="26"/>
          <w:szCs w:val="26"/>
        </w:rPr>
      </w:pPr>
      <w:r>
        <w:rPr>
          <w:sz w:val="26"/>
          <w:szCs w:val="26"/>
        </w:rPr>
      </w:r>
    </w:p>
    <w:p>
      <w:pPr>
        <w:tabs>
          <w:tab w:pos="2740" w:val="left"/>
          <w:tab w:pos="4400" w:val="left"/>
          <w:tab w:pos="6400" w:val="left"/>
        </w:tabs>
        <w:spacing w:before="0" w:after="0" w:line="271" w:lineRule="exact"/>
        <w:ind w:left="137" w:right="-20"/>
        <w:jc w:val="left"/>
        <w:rPr>
          <w:rFonts w:ascii="Arial Unicode MS" w:hAnsi="Arial Unicode MS" w:cs="Arial Unicode MS" w:eastAsia="Arial Unicode MS"/>
          <w:sz w:val="14"/>
          <w:szCs w:val="14"/>
        </w:rPr>
      </w:pPr>
      <w:r>
        <w:rPr/>
        <w:pict>
          <v:group style="position:absolute;margin-left:37.849998pt;margin-top:2.569584pt;width:522.75pt;height:51.8804pt;mso-position-horizontal-relative:page;mso-position-vertical-relative:paragraph;z-index:-328" coordorigin="757,51" coordsize="10455,1038">
            <v:shape style="position:absolute;left:757;top:51;width:10455;height:1038" coordorigin="757,51" coordsize="10455,1038" path="m757,1089l11212,1089,11212,51,757,51,757,1089xe" filled="t" fillcolor="#D2D2D2" stroked="f">
              <v:path arrowok="t"/>
              <v:fill/>
            </v:shape>
            <w10:wrap type="none"/>
          </v:group>
        </w:pict>
      </w:r>
      <w:r>
        <w:rPr>
          <w:rFonts w:ascii="Arial Unicode MS" w:hAnsi="Arial Unicode MS" w:cs="Arial Unicode MS" w:eastAsia="Arial Unicode MS"/>
          <w:spacing w:val="0"/>
          <w:w w:val="100"/>
          <w:position w:val="-1"/>
          <w:sz w:val="22"/>
          <w:szCs w:val="22"/>
        </w:rPr>
        <w:t>包装规格</w:t>
        <w:tab/>
      </w:r>
      <w:r>
        <w:rPr>
          <w:rFonts w:ascii="Arial Unicode MS" w:hAnsi="Arial Unicode MS" w:cs="Arial Unicode MS" w:eastAsia="Arial Unicode MS"/>
          <w:spacing w:val="0"/>
          <w:w w:val="100"/>
          <w:position w:val="-1"/>
          <w:sz w:val="22"/>
          <w:szCs w:val="22"/>
        </w:rPr>
      </w:r>
      <w:r>
        <w:rPr>
          <w:rFonts w:ascii="Arial Unicode MS" w:hAnsi="Arial Unicode MS" w:cs="Arial Unicode MS" w:eastAsia="Arial Unicode MS"/>
          <w:spacing w:val="0"/>
          <w:w w:val="100"/>
          <w:position w:val="4"/>
          <w:sz w:val="14"/>
          <w:szCs w:val="14"/>
        </w:rPr>
        <w:t>包装规格</w:t>
        <w:tab/>
      </w:r>
      <w:r>
        <w:rPr>
          <w:rFonts w:ascii="Arial Unicode MS" w:hAnsi="Arial Unicode MS" w:cs="Arial Unicode MS" w:eastAsia="Arial Unicode MS"/>
          <w:spacing w:val="0"/>
          <w:w w:val="100"/>
          <w:position w:val="4"/>
          <w:sz w:val="14"/>
          <w:szCs w:val="14"/>
        </w:rPr>
        <w:t>甲组份</w:t>
        <w:tab/>
      </w:r>
      <w:r>
        <w:rPr>
          <w:rFonts w:ascii="Arial Unicode MS" w:hAnsi="Arial Unicode MS" w:cs="Arial Unicode MS" w:eastAsia="Arial Unicode MS"/>
          <w:spacing w:val="0"/>
          <w:w w:val="100"/>
          <w:position w:val="4"/>
          <w:sz w:val="14"/>
          <w:szCs w:val="14"/>
        </w:rPr>
        <w:t>乙组份</w:t>
      </w:r>
      <w:r>
        <w:rPr>
          <w:rFonts w:ascii="Arial Unicode MS" w:hAnsi="Arial Unicode MS" w:cs="Arial Unicode MS" w:eastAsia="Arial Unicode MS"/>
          <w:spacing w:val="0"/>
          <w:w w:val="100"/>
          <w:position w:val="0"/>
          <w:sz w:val="14"/>
          <w:szCs w:val="14"/>
        </w:rPr>
      </w:r>
    </w:p>
    <w:p>
      <w:pPr>
        <w:tabs>
          <w:tab w:pos="5000" w:val="left"/>
          <w:tab w:pos="6140" w:val="left"/>
          <w:tab w:pos="7000" w:val="left"/>
        </w:tabs>
        <w:spacing w:before="0" w:after="0" w:line="119" w:lineRule="exact"/>
        <w:ind w:left="41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体积</w:t>
        <w:tab/>
      </w:r>
      <w:r>
        <w:rPr>
          <w:rFonts w:ascii="Arial Unicode MS" w:hAnsi="Arial Unicode MS" w:cs="Arial Unicode MS" w:eastAsia="Arial Unicode MS"/>
          <w:spacing w:val="0"/>
          <w:w w:val="100"/>
          <w:position w:val="1"/>
          <w:sz w:val="14"/>
          <w:szCs w:val="14"/>
        </w:rPr>
        <w:t>包装</w:t>
        <w:tab/>
      </w:r>
      <w:r>
        <w:rPr>
          <w:rFonts w:ascii="Arial Unicode MS" w:hAnsi="Arial Unicode MS" w:cs="Arial Unicode MS" w:eastAsia="Arial Unicode MS"/>
          <w:spacing w:val="0"/>
          <w:w w:val="100"/>
          <w:position w:val="1"/>
          <w:sz w:val="14"/>
          <w:szCs w:val="14"/>
        </w:rPr>
        <w:t>体积</w:t>
        <w:tab/>
      </w:r>
      <w:r>
        <w:rPr>
          <w:rFonts w:ascii="Arial Unicode MS" w:hAnsi="Arial Unicode MS" w:cs="Arial Unicode MS" w:eastAsia="Arial Unicode MS"/>
          <w:spacing w:val="0"/>
          <w:w w:val="100"/>
          <w:position w:val="1"/>
          <w:sz w:val="14"/>
          <w:szCs w:val="14"/>
        </w:rPr>
        <w:t>包装</w:t>
      </w:r>
      <w:r>
        <w:rPr>
          <w:rFonts w:ascii="Arial Unicode MS" w:hAnsi="Arial Unicode MS" w:cs="Arial Unicode MS" w:eastAsia="Arial Unicode MS"/>
          <w:spacing w:val="0"/>
          <w:w w:val="100"/>
          <w:position w:val="0"/>
          <w:sz w:val="14"/>
          <w:szCs w:val="14"/>
        </w:rPr>
      </w:r>
    </w:p>
    <w:p>
      <w:pPr>
        <w:tabs>
          <w:tab w:pos="4040" w:val="left"/>
          <w:tab w:pos="4920" w:val="left"/>
          <w:tab w:pos="6140" w:val="left"/>
          <w:tab w:pos="7000" w:val="left"/>
        </w:tabs>
        <w:spacing w:before="27" w:after="0" w:line="233"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20</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公升</w:t>
        <w:tab/>
      </w:r>
      <w:r>
        <w:rPr>
          <w:rFonts w:ascii="Arial Unicode MS" w:hAnsi="Arial Unicode MS" w:cs="Arial Unicode MS" w:eastAsia="Arial Unicode MS"/>
          <w:spacing w:val="0"/>
          <w:w w:val="100"/>
          <w:position w:val="-1"/>
          <w:sz w:val="14"/>
          <w:szCs w:val="14"/>
        </w:rPr>
        <w:t>16</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公升</w:t>
        <w:tab/>
      </w:r>
      <w:r>
        <w:rPr>
          <w:rFonts w:ascii="Arial Unicode MS" w:hAnsi="Arial Unicode MS" w:cs="Arial Unicode MS" w:eastAsia="Arial Unicode MS"/>
          <w:spacing w:val="0"/>
          <w:w w:val="100"/>
          <w:position w:val="-1"/>
          <w:sz w:val="14"/>
          <w:szCs w:val="14"/>
        </w:rPr>
        <w:t>20</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公升</w:t>
        <w:tab/>
      </w:r>
      <w:r>
        <w:rPr>
          <w:rFonts w:ascii="Arial Unicode MS" w:hAnsi="Arial Unicode MS" w:cs="Arial Unicode MS" w:eastAsia="Arial Unicode MS"/>
          <w:spacing w:val="0"/>
          <w:w w:val="100"/>
          <w:position w:val="-1"/>
          <w:sz w:val="14"/>
          <w:szCs w:val="14"/>
        </w:rPr>
        <w:t>4</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公升</w:t>
        <w:tab/>
      </w: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公升</w:t>
      </w:r>
      <w:r>
        <w:rPr>
          <w:rFonts w:ascii="Arial Unicode MS" w:hAnsi="Arial Unicode MS" w:cs="Arial Unicode MS" w:eastAsia="Arial Unicode MS"/>
          <w:spacing w:val="0"/>
          <w:w w:val="100"/>
          <w:position w:val="0"/>
          <w:sz w:val="14"/>
          <w:szCs w:val="14"/>
        </w:rPr>
      </w:r>
    </w:p>
    <w:p>
      <w:pPr>
        <w:spacing w:before="5" w:after="0" w:line="190" w:lineRule="exact"/>
        <w:jc w:val="left"/>
        <w:rPr>
          <w:sz w:val="19"/>
          <w:szCs w:val="19"/>
        </w:rPr>
      </w:pPr>
      <w:r>
        <w:rPr>
          <w:sz w:val="19"/>
          <w:szCs w:val="19"/>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6804pt;width:522.75pt;height:28.6443pt;mso-position-horizontal-relative:page;mso-position-vertical-relative:paragraph;z-index:-327" coordorigin="757,139" coordsize="10455,573">
            <v:shape style="position:absolute;left:757;top:139;width:10455;height:573" coordorigin="757,139" coordsize="10455,573" path="m757,712l11212,712,11212,139,757,139,757,712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69"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tab/>
      </w:r>
      <w:r>
        <w:rPr>
          <w:rFonts w:ascii="Arial Unicode MS" w:hAnsi="Arial Unicode MS" w:cs="Arial Unicode MS" w:eastAsia="Arial Unicode MS"/>
          <w:spacing w:val="0"/>
          <w:w w:val="100"/>
          <w:position w:val="0"/>
          <w:sz w:val="14"/>
          <w:szCs w:val="14"/>
        </w:rPr>
        <w:t>33.02</w:t>
      </w:r>
      <w:r>
        <w:rPr>
          <w:rFonts w:ascii="Arial Unicode MS" w:hAnsi="Arial Unicode MS" w:cs="Arial Unicode MS" w:eastAsia="Arial Unicode MS"/>
          <w:spacing w:val="-3"/>
          <w:w w:val="100"/>
          <w:position w:val="0"/>
          <w:sz w:val="14"/>
          <w:szCs w:val="14"/>
        </w:rPr>
        <w:t> </w:t>
      </w:r>
      <w:r>
        <w:rPr>
          <w:rFonts w:ascii="Arial Unicode MS" w:hAnsi="Arial Unicode MS" w:cs="Arial Unicode MS" w:eastAsia="Arial Unicode MS"/>
          <w:spacing w:val="0"/>
          <w:w w:val="100"/>
          <w:position w:val="0"/>
          <w:sz w:val="14"/>
          <w:szCs w:val="14"/>
        </w:rPr>
        <w:t>千克</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1924pt;width:524.5pt;height:20.9883pt;mso-position-horizontal-relative:page;mso-position-vertical-relative:paragraph;z-index:-326"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headerReference w:type="default" r:id="rId9"/>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68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68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17494pt;width:414pt;height:.1pt;mso-position-horizontal-relative:page;mso-position-vertical-relative:paragraph;z-index:-325" coordorigin="2897,-68" coordsize="8280,2">
            <v:shape style="position:absolute;left:2897;top:-68;width:8280;height:2" coordorigin="2897,-68" coordsize="8280,0" path="m2897,-68l11177,-68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r>
        <w:rPr>
          <w:rFonts w:ascii="Arial Unicode MS" w:hAnsi="Arial Unicode MS" w:cs="Arial Unicode MS" w:eastAsia="Arial Unicode MS"/>
          <w:spacing w:val="0"/>
          <w:w w:val="100"/>
          <w:sz w:val="12"/>
          <w:szCs w:val="12"/>
        </w:rPr>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10"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1">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68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329" type="#_x0000_t75">
          <v:imagedata r:id="rId1" o:title=""/>
        </v:shape>
      </w:pict>
    </w:r>
    <w:r>
      <w:rPr/>
      <w:pict>
        <v:group style="position:absolute;margin-left:36.860001pt;margin-top:780.25pt;width:455.53pt;height:.1pt;mso-position-horizontal-relative:page;mso-position-vertical-relative:page;z-index:-328"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327"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资料来源647</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34" type="#_x0000_t75">
          <v:imagedata r:id="rId1" o:title=""/>
        </v:shape>
      </w:pict>
    </w:r>
    <w:r>
      <w:rPr/>
      <w:pict>
        <v:group style="position:absolute;margin-left:145.850006pt;margin-top:83.25pt;width:414pt;height:.1pt;mso-position-horizontal-relative:page;mso-position-vertical-relative:page;z-index:-333" coordorigin="2917,1665" coordsize="8280,2">
          <v:shape style="position:absolute;left:2917;top:1665;width:8280;height:2" coordorigin="2917,1665" coordsize="8280,0" path="m2917,1665l11197,1665e" filled="f" stroked="t" strokeweight="1.5pt" strokecolor="#000000">
            <v:path arrowok="t"/>
          </v:shape>
          <w10:wrap type="none"/>
        </v:group>
      </w:pict>
    </w:r>
    <w:r>
      <w:rPr/>
      <w:pict>
        <v:shapetype id="_x0000_t202" o:spt="202" coordsize="21600,21600" path="m,l,21600r21600,l21600,xe">
          <v:stroke joinstyle="miter"/>
          <v:path gradientshapeok="t" o:connecttype="rect"/>
        </v:shapetype>
        <v:shape style="position:absolute;margin-left:414.480896pt;margin-top:13.964228pt;width:148.893204pt;height:39.970127pt;mso-position-horizontal-relative:page;mso-position-vertical-relative:page;z-index:-332"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276</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pict>
        <v:shape style="position:absolute;margin-left:145.600006pt;margin-top:64.485977pt;width:124.216006pt;height:10pt;mso-position-horizontal-relative:page;mso-position-vertical-relative:page;z-index:-331" type="#_x0000_t202" filled="f" stroked="f">
          <v:textbox inset="0,0,0,0">
            <w:txbxContent>
              <w:p>
                <w:pPr>
                  <w:spacing w:before="0" w:after="0" w:line="191" w:lineRule="exact"/>
                  <w:ind w:left="20" w:right="-4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一种两罐装环氧中间漆/过渡涂层。</w:t>
                </w:r>
                <w:r>
                  <w:rPr>
                    <w:rFonts w:ascii="Arial Unicode MS" w:hAnsi="Arial Unicode MS" w:cs="Arial Unicode MS" w:eastAsia="Arial Unicode MS"/>
                    <w:spacing w:val="0"/>
                    <w:w w:val="100"/>
                    <w:position w:val="0"/>
                    <w:sz w:val="16"/>
                    <w:szCs w:val="16"/>
                  </w:rPr>
                </w:r>
              </w:p>
            </w:txbxContent>
          </v:textbox>
          <w10:wrap type="none"/>
        </v:shape>
      </w:pict>
    </w:r>
    <w:r>
      <w:rPr/>
      <w:pict>
        <v:shape style="position:absolute;margin-left:36.849998pt;margin-top:64.672653pt;width:46.000002pt;height:13pt;mso-position-horizontal-relative:page;mso-position-vertical-relative:page;z-index:-330" type="#_x0000_t202" filled="f" stroked="f">
          <v:textbox inset="0,0,0,0">
            <w:txbxContent>
              <w:p>
                <w:pPr>
                  <w:spacing w:before="0" w:after="0" w:line="255" w:lineRule="exact"/>
                  <w:ind w:left="20"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产品概述</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26" type="#_x0000_t75">
          <v:imagedata r:id="rId1" o:title=""/>
        </v:shape>
      </w:pict>
    </w:r>
    <w:r>
      <w:rPr/>
      <w:pict>
        <v:group style="position:absolute;margin-left:145.570007pt;margin-top:84.290001pt;width:414.0pt;height:.1pt;mso-position-horizontal-relative:page;mso-position-vertical-relative:page;z-index:-325" coordorigin="2911,1686" coordsize="8280,2">
          <v:shape style="position:absolute;left:2911;top:1686;width:8280;height:2" coordorigin="2911,1686" coordsize="8280,0" path="m2911,1686l11191,1686e" filled="f" stroked="t" strokeweight="1.5pt" strokecolor="#000000">
            <v:path arrowok="t"/>
          </v:shape>
          <w10:wrap type="none"/>
        </v:group>
      </w:pict>
    </w:r>
    <w:r>
      <w:rPr/>
      <w:pict>
        <v:shape style="position:absolute;margin-left:414.480896pt;margin-top:13.964228pt;width:148.893204pt;height:39.970127pt;mso-position-horizontal-relative:page;mso-position-vertical-relative:page;z-index:-324"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276</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pict>
        <v:shape style="position:absolute;margin-left:36.849998pt;margin-top:66.688652pt;width:68.000003pt;height:13pt;mso-position-horizontal-relative:page;mso-position-vertical-relative:page;z-index:-323" type="#_x0000_t202" filled="f" stroked="f">
          <v:textbox inset="0,0,0,0">
            <w:txbxContent>
              <w:p>
                <w:pPr>
                  <w:spacing w:before="0" w:after="0" w:line="255" w:lineRule="exact"/>
                  <w:ind w:left="20"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体系及配套性</w:t>
                </w:r>
                <w:r>
                  <w:rPr>
                    <w:rFonts w:ascii="Arial Unicode MS" w:hAnsi="Arial Unicode MS" w:cs="Arial Unicode MS" w:eastAsia="Arial Unicode MS"/>
                    <w:spacing w:val="0"/>
                    <w:w w:val="100"/>
                    <w:position w:val="0"/>
                    <w:sz w:val="22"/>
                    <w:szCs w:val="22"/>
                  </w:rPr>
                </w:r>
              </w:p>
            </w:txbxContent>
          </v:textbox>
          <w10:wrap type="none"/>
        </v:shape>
      </w:pict>
    </w:r>
    <w:r>
      <w:rPr/>
      <w:pict>
        <v:shape style="position:absolute;margin-left:146.727997pt;margin-top:66.501976pt;width:300.192014pt;height:10pt;mso-position-horizontal-relative:page;mso-position-vertical-relative:page;z-index:-322" type="#_x0000_t202" filled="f" stroked="f">
          <v:textbox inset="0,0,0,0">
            <w:txbxContent>
              <w:p>
                <w:pPr>
                  <w:spacing w:before="0" w:after="0" w:line="191" w:lineRule="exact"/>
                  <w:ind w:left="20" w:right="-4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有关最适于待保护表面的漆系，请向贵处的国际油漆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21" type="#_x0000_t75">
          <v:imagedata r:id="rId1" o:title=""/>
        </v:shape>
      </w:pict>
    </w:r>
    <w:r>
      <w:rPr/>
      <w:pict>
        <v:shape style="position:absolute;margin-left:414.480896pt;margin-top:13.964228pt;width:148.893204pt;height:39.970127pt;mso-position-horizontal-relative:page;mso-position-vertical-relative:page;z-index:-320"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276</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19" type="#_x0000_t75">
          <v:imagedata r:id="rId1" o:title=""/>
        </v:shape>
      </w:pict>
    </w:r>
    <w:r>
      <w:rPr/>
      <w:pict>
        <v:shape style="position:absolute;margin-left:414.480896pt;margin-top:13.964228pt;width:148.893204pt;height:39.970127pt;mso-position-horizontal-relative:page;mso-position-vertical-relative:page;z-index:-318"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276</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6.jpg"/><Relationship Id="rId11"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Intergard 276 环氧底漆/过渡漆 Intergard 1 07/07/2009 Intergard 276 I 647 chi-s</cp:keywords>
  <dc:subject>Technical Datasheet</dc:subject>
  <dc:title>Intergard 276</dc:title>
  <dcterms:created xsi:type="dcterms:W3CDTF">2015-07-27T15:49:28Z</dcterms:created>
  <dcterms:modified xsi:type="dcterms:W3CDTF">2015-07-27T15:49:28Z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